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7D90" w14:textId="5DE07AE1" w:rsidR="00CE4D78" w:rsidRPr="00CE4D78" w:rsidRDefault="00CE4D78" w:rsidP="00CE4D78">
      <w:pPr>
        <w:spacing w:after="0"/>
        <w:jc w:val="center"/>
        <w:rPr>
          <w:b/>
          <w:bCs/>
          <w:i/>
          <w:iCs/>
        </w:rPr>
      </w:pPr>
      <w:r w:rsidRPr="00CE4D78">
        <w:rPr>
          <w:b/>
          <w:bCs/>
          <w:i/>
          <w:iCs/>
          <w:sz w:val="28"/>
          <w:szCs w:val="28"/>
        </w:rPr>
        <w:t>Metal Ducts</w:t>
      </w:r>
      <w:r>
        <w:rPr>
          <w:b/>
          <w:bCs/>
          <w:i/>
          <w:iCs/>
          <w:sz w:val="28"/>
          <w:szCs w:val="28"/>
        </w:rPr>
        <w:t xml:space="preserve"> - </w:t>
      </w:r>
      <w:r w:rsidRPr="00CE4D78">
        <w:rPr>
          <w:b/>
          <w:bCs/>
          <w:i/>
          <w:iCs/>
          <w:sz w:val="28"/>
          <w:szCs w:val="28"/>
        </w:rPr>
        <w:t>Fire</w:t>
      </w:r>
      <w:r>
        <w:rPr>
          <w:b/>
          <w:bCs/>
          <w:i/>
          <w:iCs/>
          <w:sz w:val="28"/>
          <w:szCs w:val="28"/>
        </w:rPr>
        <w:t>-</w:t>
      </w:r>
      <w:r w:rsidRPr="00CE4D78">
        <w:rPr>
          <w:b/>
          <w:bCs/>
          <w:i/>
          <w:iCs/>
          <w:sz w:val="28"/>
          <w:szCs w:val="28"/>
        </w:rPr>
        <w:t>R</w:t>
      </w:r>
      <w:r>
        <w:rPr>
          <w:b/>
          <w:bCs/>
          <w:i/>
          <w:iCs/>
          <w:sz w:val="28"/>
          <w:szCs w:val="28"/>
        </w:rPr>
        <w:t>esisting Ductwork</w:t>
      </w:r>
    </w:p>
    <w:p w14:paraId="599C31E9" w14:textId="77777777" w:rsidR="00CE4D78" w:rsidRDefault="00CE4D78" w:rsidP="00CE4D78">
      <w:pPr>
        <w:spacing w:after="0"/>
        <w:jc w:val="both"/>
        <w:rPr>
          <w:b/>
          <w:bCs/>
        </w:rPr>
      </w:pPr>
    </w:p>
    <w:p w14:paraId="3FFE52C0" w14:textId="6DD0A4C4" w:rsidR="00CE4D78" w:rsidRPr="00CE4D78" w:rsidRDefault="00CE4D78" w:rsidP="00CE4D78">
      <w:pPr>
        <w:spacing w:after="0"/>
        <w:jc w:val="both"/>
        <w:rPr>
          <w:b/>
          <w:bCs/>
        </w:rPr>
      </w:pPr>
      <w:r>
        <w:rPr>
          <w:b/>
          <w:bCs/>
        </w:rPr>
        <w:t xml:space="preserve">Specifications of Non-Coated </w:t>
      </w:r>
      <w:r w:rsidRPr="00CE4D78">
        <w:rPr>
          <w:b/>
          <w:bCs/>
        </w:rPr>
        <w:t>Fire</w:t>
      </w:r>
      <w:r>
        <w:rPr>
          <w:b/>
          <w:bCs/>
        </w:rPr>
        <w:t>-</w:t>
      </w:r>
      <w:r w:rsidR="004C7832">
        <w:rPr>
          <w:b/>
          <w:bCs/>
        </w:rPr>
        <w:t>Resisting</w:t>
      </w:r>
      <w:r w:rsidRPr="00CE4D78">
        <w:rPr>
          <w:b/>
          <w:bCs/>
        </w:rPr>
        <w:t xml:space="preserve"> Ductwork:</w:t>
      </w:r>
    </w:p>
    <w:p w14:paraId="1AB96E50" w14:textId="77777777" w:rsidR="00CE4D78" w:rsidRPr="004C7832" w:rsidRDefault="00CE4D78" w:rsidP="00CE4D78">
      <w:pPr>
        <w:spacing w:after="0"/>
        <w:jc w:val="both"/>
        <w:rPr>
          <w:sz w:val="20"/>
          <w:szCs w:val="20"/>
        </w:rPr>
      </w:pPr>
    </w:p>
    <w:p w14:paraId="56C9AF61" w14:textId="5D0D61BD" w:rsidR="00CE4D78" w:rsidRPr="004C7832" w:rsidRDefault="00CE4D78" w:rsidP="00CE4D78">
      <w:pPr>
        <w:pStyle w:val="ListParagraph"/>
        <w:numPr>
          <w:ilvl w:val="0"/>
          <w:numId w:val="2"/>
        </w:numPr>
        <w:spacing w:after="0"/>
        <w:jc w:val="both"/>
        <w:rPr>
          <w:sz w:val="20"/>
          <w:szCs w:val="20"/>
        </w:rPr>
      </w:pPr>
      <w:r w:rsidRPr="004C7832">
        <w:rPr>
          <w:sz w:val="20"/>
          <w:szCs w:val="20"/>
        </w:rPr>
        <w:t>Fire</w:t>
      </w:r>
      <w:r w:rsidR="004C7832">
        <w:rPr>
          <w:sz w:val="20"/>
          <w:szCs w:val="20"/>
        </w:rPr>
        <w:t>-resisting</w:t>
      </w:r>
      <w:r w:rsidRPr="004C7832">
        <w:rPr>
          <w:sz w:val="20"/>
          <w:szCs w:val="20"/>
        </w:rPr>
        <w:t xml:space="preserve"> ductwork shall be applicable for smoke extract system, car park ventilation system, kitchen extract system, corridor pressurization system and all emergency ventilation system.</w:t>
      </w:r>
    </w:p>
    <w:p w14:paraId="1259FE8C" w14:textId="77777777" w:rsidR="00CE4D78" w:rsidRPr="004C7832" w:rsidRDefault="00CE4D78" w:rsidP="00CE4D78">
      <w:pPr>
        <w:spacing w:after="0"/>
        <w:jc w:val="both"/>
        <w:rPr>
          <w:sz w:val="20"/>
          <w:szCs w:val="20"/>
        </w:rPr>
      </w:pPr>
    </w:p>
    <w:p w14:paraId="21870053" w14:textId="10E52D2F" w:rsidR="00CE4D78" w:rsidRPr="004C7832" w:rsidRDefault="00CE4D78" w:rsidP="00CE4D78">
      <w:pPr>
        <w:pStyle w:val="ListParagraph"/>
        <w:numPr>
          <w:ilvl w:val="0"/>
          <w:numId w:val="2"/>
        </w:numPr>
        <w:spacing w:after="0"/>
        <w:jc w:val="both"/>
        <w:rPr>
          <w:sz w:val="20"/>
          <w:szCs w:val="20"/>
        </w:rPr>
      </w:pPr>
      <w:r w:rsidRPr="004C7832">
        <w:rPr>
          <w:sz w:val="20"/>
          <w:szCs w:val="20"/>
        </w:rPr>
        <w:t>Fire</w:t>
      </w:r>
      <w:r w:rsidR="004C7832">
        <w:rPr>
          <w:sz w:val="20"/>
          <w:szCs w:val="20"/>
        </w:rPr>
        <w:t>-resisting</w:t>
      </w:r>
      <w:r w:rsidRPr="004C7832">
        <w:rPr>
          <w:sz w:val="20"/>
          <w:szCs w:val="20"/>
        </w:rPr>
        <w:t xml:space="preserve"> ductwork shall be </w:t>
      </w:r>
      <w:r w:rsidR="004C7832" w:rsidRPr="004C7832">
        <w:rPr>
          <w:sz w:val="20"/>
          <w:szCs w:val="20"/>
        </w:rPr>
        <w:t>non-coated</w:t>
      </w:r>
      <w:r w:rsidRPr="004C7832">
        <w:rPr>
          <w:sz w:val="20"/>
          <w:szCs w:val="20"/>
        </w:rPr>
        <w:t xml:space="preserve"> </w:t>
      </w:r>
      <w:r w:rsidR="004C7832">
        <w:rPr>
          <w:sz w:val="20"/>
          <w:szCs w:val="20"/>
        </w:rPr>
        <w:t xml:space="preserve">manufactured by G90/Z275 zinc coated </w:t>
      </w:r>
      <w:r w:rsidRPr="004C7832">
        <w:rPr>
          <w:sz w:val="20"/>
          <w:szCs w:val="20"/>
        </w:rPr>
        <w:t xml:space="preserve">galvanized steel </w:t>
      </w:r>
      <w:r w:rsidR="004C7832">
        <w:rPr>
          <w:sz w:val="20"/>
          <w:szCs w:val="20"/>
        </w:rPr>
        <w:t xml:space="preserve">in accordance to ASTM A653 </w:t>
      </w:r>
      <w:r w:rsidRPr="004C7832">
        <w:rPr>
          <w:sz w:val="20"/>
          <w:szCs w:val="20"/>
        </w:rPr>
        <w:t xml:space="preserve">with </w:t>
      </w:r>
      <w:r w:rsidR="0008337A">
        <w:rPr>
          <w:sz w:val="20"/>
          <w:szCs w:val="20"/>
        </w:rPr>
        <w:t>slip-on</w:t>
      </w:r>
      <w:r w:rsidRPr="004C7832">
        <w:rPr>
          <w:sz w:val="20"/>
          <w:szCs w:val="20"/>
        </w:rPr>
        <w:t xml:space="preserve"> flanges.</w:t>
      </w:r>
    </w:p>
    <w:p w14:paraId="53244439" w14:textId="77777777" w:rsidR="00CE4D78" w:rsidRPr="004C7832" w:rsidRDefault="00CE4D78" w:rsidP="00CE4D78">
      <w:pPr>
        <w:spacing w:after="0"/>
        <w:jc w:val="both"/>
        <w:rPr>
          <w:sz w:val="20"/>
          <w:szCs w:val="20"/>
        </w:rPr>
      </w:pPr>
    </w:p>
    <w:p w14:paraId="315A10E8" w14:textId="476302A3" w:rsidR="00CE4D78" w:rsidRPr="004C7832" w:rsidRDefault="00CE4D78" w:rsidP="00CE4D78">
      <w:pPr>
        <w:pStyle w:val="ListParagraph"/>
        <w:numPr>
          <w:ilvl w:val="0"/>
          <w:numId w:val="2"/>
        </w:numPr>
        <w:spacing w:after="0"/>
        <w:jc w:val="both"/>
        <w:rPr>
          <w:sz w:val="20"/>
          <w:szCs w:val="20"/>
        </w:rPr>
      </w:pPr>
      <w:r w:rsidRPr="004C7832">
        <w:rPr>
          <w:sz w:val="20"/>
          <w:szCs w:val="20"/>
        </w:rPr>
        <w:t xml:space="preserve">The ductwork shall provide a fire rating of up to 4-hours (240 mins) as per BS 476 Part 24 (BS 5588 – ISO 6944) </w:t>
      </w:r>
      <w:r w:rsidR="0008337A">
        <w:rPr>
          <w:sz w:val="20"/>
          <w:szCs w:val="20"/>
        </w:rPr>
        <w:t>or</w:t>
      </w:r>
      <w:r w:rsidRPr="004C7832">
        <w:rPr>
          <w:sz w:val="20"/>
          <w:szCs w:val="20"/>
        </w:rPr>
        <w:t xml:space="preserve"> EN 1366 - Part 1 - Kitchen/Smoke Extracts &amp; Pressurization, Part 8 - Multi-Compartment Smoke Extracts, Part 9 - Single-Compartment Smoke Extracts, standards.</w:t>
      </w:r>
    </w:p>
    <w:p w14:paraId="674751B8" w14:textId="77777777" w:rsidR="00CE4D78" w:rsidRPr="004C7832" w:rsidRDefault="00CE4D78" w:rsidP="00CE4D78">
      <w:pPr>
        <w:spacing w:after="0"/>
        <w:jc w:val="both"/>
        <w:rPr>
          <w:sz w:val="20"/>
          <w:szCs w:val="20"/>
        </w:rPr>
      </w:pPr>
    </w:p>
    <w:p w14:paraId="7E2CDD5B" w14:textId="497237D6" w:rsidR="00CE4D78" w:rsidRPr="004C7832" w:rsidRDefault="00CE4D78" w:rsidP="00CE4D78">
      <w:pPr>
        <w:pStyle w:val="ListParagraph"/>
        <w:numPr>
          <w:ilvl w:val="0"/>
          <w:numId w:val="2"/>
        </w:numPr>
        <w:spacing w:after="0"/>
        <w:jc w:val="both"/>
        <w:rPr>
          <w:sz w:val="20"/>
          <w:szCs w:val="20"/>
        </w:rPr>
      </w:pPr>
      <w:r w:rsidRPr="004C7832">
        <w:rPr>
          <w:sz w:val="20"/>
          <w:szCs w:val="20"/>
        </w:rPr>
        <w:t xml:space="preserve">The system shall be assessed by another independent certifying authority such as LPCB (Loss Prevention Certification Board) or </w:t>
      </w:r>
      <w:proofErr w:type="spellStart"/>
      <w:r w:rsidRPr="004C7832">
        <w:rPr>
          <w:sz w:val="20"/>
          <w:szCs w:val="20"/>
        </w:rPr>
        <w:t>Certifire</w:t>
      </w:r>
      <w:proofErr w:type="spellEnd"/>
      <w:r w:rsidRPr="004C7832">
        <w:rPr>
          <w:sz w:val="20"/>
          <w:szCs w:val="20"/>
        </w:rPr>
        <w:t xml:space="preserve"> or similar auditor to ensure the standards and norms are being adhered in fire and safety products supply and installation.</w:t>
      </w:r>
    </w:p>
    <w:p w14:paraId="1A34D629" w14:textId="77777777" w:rsidR="00CE4D78" w:rsidRPr="004C7832" w:rsidRDefault="00CE4D78" w:rsidP="00CE4D78">
      <w:pPr>
        <w:spacing w:after="0"/>
        <w:jc w:val="both"/>
        <w:rPr>
          <w:sz w:val="20"/>
          <w:szCs w:val="20"/>
        </w:rPr>
      </w:pPr>
    </w:p>
    <w:p w14:paraId="78089E29" w14:textId="7D830919" w:rsidR="00CE4D78" w:rsidRPr="004C7832" w:rsidRDefault="00CE4D78" w:rsidP="00CE4D78">
      <w:pPr>
        <w:pStyle w:val="ListParagraph"/>
        <w:numPr>
          <w:ilvl w:val="0"/>
          <w:numId w:val="2"/>
        </w:numPr>
        <w:spacing w:after="0"/>
        <w:jc w:val="both"/>
        <w:rPr>
          <w:sz w:val="20"/>
          <w:szCs w:val="20"/>
        </w:rPr>
      </w:pPr>
      <w:r w:rsidRPr="004C7832">
        <w:rPr>
          <w:sz w:val="20"/>
          <w:szCs w:val="20"/>
        </w:rPr>
        <w:t>Non-coated fire</w:t>
      </w:r>
      <w:r w:rsidR="004C7832">
        <w:rPr>
          <w:sz w:val="20"/>
          <w:szCs w:val="20"/>
        </w:rPr>
        <w:t>-resisting</w:t>
      </w:r>
      <w:r w:rsidRPr="004C7832">
        <w:rPr>
          <w:sz w:val="20"/>
          <w:szCs w:val="20"/>
        </w:rPr>
        <w:t xml:space="preserve"> duct system shall mandatorily provide a third-party approved test certificate by UKAS accredited testing laboratory; suitable for applications, where fire</w:t>
      </w:r>
      <w:r w:rsidR="004C7832">
        <w:rPr>
          <w:sz w:val="20"/>
          <w:szCs w:val="20"/>
        </w:rPr>
        <w:t>-resisting</w:t>
      </w:r>
      <w:r w:rsidRPr="004C7832">
        <w:rPr>
          <w:sz w:val="20"/>
          <w:szCs w:val="20"/>
        </w:rPr>
        <w:t xml:space="preserve"> ductwork is required as per BS476 Part 24 and EN 1366 Part 1, Part 8 and Part 9 standards.</w:t>
      </w:r>
    </w:p>
    <w:p w14:paraId="7DA87EBB" w14:textId="77777777" w:rsidR="00CE4D78" w:rsidRPr="004C7832" w:rsidRDefault="00CE4D78" w:rsidP="00CE4D78">
      <w:pPr>
        <w:spacing w:after="0"/>
        <w:jc w:val="both"/>
        <w:rPr>
          <w:sz w:val="20"/>
          <w:szCs w:val="20"/>
        </w:rPr>
      </w:pPr>
    </w:p>
    <w:p w14:paraId="486B10B1" w14:textId="77777777" w:rsidR="0008337A" w:rsidRPr="004C7832" w:rsidRDefault="0008337A" w:rsidP="0008337A">
      <w:pPr>
        <w:pStyle w:val="ListParagraph"/>
        <w:numPr>
          <w:ilvl w:val="0"/>
          <w:numId w:val="2"/>
        </w:numPr>
        <w:spacing w:after="0"/>
        <w:jc w:val="both"/>
        <w:rPr>
          <w:sz w:val="20"/>
          <w:szCs w:val="20"/>
        </w:rPr>
      </w:pPr>
      <w:r w:rsidRPr="004C7832">
        <w:rPr>
          <w:sz w:val="20"/>
          <w:szCs w:val="20"/>
        </w:rPr>
        <w:t>Fire</w:t>
      </w:r>
      <w:r>
        <w:rPr>
          <w:sz w:val="20"/>
          <w:szCs w:val="20"/>
        </w:rPr>
        <w:t>-resisting</w:t>
      </w:r>
      <w:r w:rsidRPr="004C7832">
        <w:rPr>
          <w:sz w:val="20"/>
          <w:szCs w:val="20"/>
        </w:rPr>
        <w:t xml:space="preserve"> ductwork shall be tested, evaluated and certified by independent laboratories such as Warringtonfire or British Research BRE for British standards. </w:t>
      </w:r>
    </w:p>
    <w:p w14:paraId="4E6C213B" w14:textId="77777777" w:rsidR="0008337A" w:rsidRPr="004C7832" w:rsidRDefault="0008337A" w:rsidP="0008337A">
      <w:pPr>
        <w:spacing w:after="0"/>
        <w:jc w:val="both"/>
        <w:rPr>
          <w:sz w:val="20"/>
          <w:szCs w:val="20"/>
        </w:rPr>
      </w:pPr>
    </w:p>
    <w:p w14:paraId="2543A07D" w14:textId="0B468C81" w:rsidR="0008337A" w:rsidRDefault="0008337A" w:rsidP="0008337A">
      <w:pPr>
        <w:pStyle w:val="ListParagraph"/>
        <w:numPr>
          <w:ilvl w:val="0"/>
          <w:numId w:val="2"/>
        </w:numPr>
        <w:rPr>
          <w:sz w:val="20"/>
          <w:szCs w:val="20"/>
        </w:rPr>
      </w:pPr>
      <w:r w:rsidRPr="0008337A">
        <w:rPr>
          <w:sz w:val="20"/>
          <w:szCs w:val="20"/>
        </w:rPr>
        <w:t>The Non-coated fire-rated duct system shall be approved by local authorities having jurisdiction (AHJs)</w:t>
      </w:r>
      <w:r w:rsidR="00A71060">
        <w:rPr>
          <w:sz w:val="20"/>
          <w:szCs w:val="20"/>
        </w:rPr>
        <w:t xml:space="preserve"> and shall carry a valid AHJs certificate </w:t>
      </w:r>
      <w:r w:rsidR="00A71060" w:rsidRPr="0008337A">
        <w:rPr>
          <w:sz w:val="20"/>
          <w:szCs w:val="20"/>
        </w:rPr>
        <w:t>with the test certification number/reference</w:t>
      </w:r>
      <w:r w:rsidR="00A71060">
        <w:rPr>
          <w:sz w:val="20"/>
          <w:szCs w:val="20"/>
        </w:rPr>
        <w:t xml:space="preserve"> mentioned</w:t>
      </w:r>
      <w:r w:rsidRPr="0008337A">
        <w:rPr>
          <w:sz w:val="20"/>
          <w:szCs w:val="20"/>
        </w:rPr>
        <w:t>.</w:t>
      </w:r>
    </w:p>
    <w:p w14:paraId="61F11C49" w14:textId="77777777" w:rsidR="0008337A" w:rsidRPr="0008337A" w:rsidRDefault="0008337A" w:rsidP="0008337A">
      <w:pPr>
        <w:pStyle w:val="ListParagraph"/>
        <w:rPr>
          <w:sz w:val="20"/>
          <w:szCs w:val="20"/>
        </w:rPr>
      </w:pPr>
    </w:p>
    <w:p w14:paraId="4412C53E" w14:textId="6C4ABF0F" w:rsidR="00CE4D78" w:rsidRPr="004C7832" w:rsidRDefault="00CE4D78" w:rsidP="00CE4D78">
      <w:pPr>
        <w:pStyle w:val="ListParagraph"/>
        <w:numPr>
          <w:ilvl w:val="0"/>
          <w:numId w:val="2"/>
        </w:numPr>
        <w:spacing w:after="0"/>
        <w:jc w:val="both"/>
        <w:rPr>
          <w:sz w:val="20"/>
          <w:szCs w:val="20"/>
        </w:rPr>
      </w:pPr>
      <w:r w:rsidRPr="004C7832">
        <w:rPr>
          <w:sz w:val="20"/>
          <w:szCs w:val="20"/>
        </w:rPr>
        <w:t>Non-coated fire</w:t>
      </w:r>
      <w:r w:rsidR="004C7832">
        <w:rPr>
          <w:sz w:val="20"/>
          <w:szCs w:val="20"/>
        </w:rPr>
        <w:t>-resisting</w:t>
      </w:r>
      <w:r w:rsidRPr="004C7832">
        <w:rPr>
          <w:sz w:val="20"/>
          <w:szCs w:val="20"/>
        </w:rPr>
        <w:t xml:space="preserve"> ductwork is equivalent for use in applications where, specifications may refer to any coated duct systems without any prejudice as long as the performance criteria such as Stability, Integrity and Insulation are complied.</w:t>
      </w:r>
    </w:p>
    <w:p w14:paraId="1F25B85D" w14:textId="77777777" w:rsidR="00CE4D78" w:rsidRPr="004C7832" w:rsidRDefault="00CE4D78" w:rsidP="00CE4D78">
      <w:pPr>
        <w:spacing w:after="0"/>
        <w:jc w:val="both"/>
        <w:rPr>
          <w:sz w:val="20"/>
          <w:szCs w:val="20"/>
        </w:rPr>
      </w:pPr>
    </w:p>
    <w:p w14:paraId="051E7D4A" w14:textId="66B77547" w:rsidR="00CE4D78" w:rsidRPr="004C7832" w:rsidRDefault="00CE4D78" w:rsidP="00CE4D78">
      <w:pPr>
        <w:pStyle w:val="ListParagraph"/>
        <w:numPr>
          <w:ilvl w:val="0"/>
          <w:numId w:val="2"/>
        </w:numPr>
        <w:spacing w:after="0"/>
        <w:jc w:val="both"/>
        <w:rPr>
          <w:sz w:val="20"/>
          <w:szCs w:val="20"/>
        </w:rPr>
      </w:pPr>
      <w:r w:rsidRPr="004C7832">
        <w:rPr>
          <w:sz w:val="20"/>
          <w:szCs w:val="20"/>
        </w:rPr>
        <w:t>The Fire</w:t>
      </w:r>
      <w:r w:rsidR="004C7832">
        <w:rPr>
          <w:sz w:val="20"/>
          <w:szCs w:val="20"/>
        </w:rPr>
        <w:t>-resisting</w:t>
      </w:r>
      <w:r w:rsidRPr="004C7832">
        <w:rPr>
          <w:sz w:val="20"/>
          <w:szCs w:val="20"/>
        </w:rPr>
        <w:t xml:space="preserve"> ductwork shall be tested for both Type A (Fire Outside) and Type B (Fire Inside) as per BS476 Part24:1987 (ISO 6944:1985) to meet design guidelines in accordance to BS</w:t>
      </w:r>
      <w:r w:rsidRPr="004C7832">
        <w:rPr>
          <w:sz w:val="20"/>
          <w:szCs w:val="20"/>
        </w:rPr>
        <w:t>5588: Part</w:t>
      </w:r>
      <w:r w:rsidRPr="004C7832">
        <w:rPr>
          <w:sz w:val="20"/>
          <w:szCs w:val="20"/>
        </w:rPr>
        <w:t xml:space="preserve"> 9:1989, Method 3, for both horizontal and vertical ductwork.</w:t>
      </w:r>
    </w:p>
    <w:p w14:paraId="7DB92784" w14:textId="77777777" w:rsidR="00CE4D78" w:rsidRPr="004C7832" w:rsidRDefault="00CE4D78" w:rsidP="00CE4D78">
      <w:pPr>
        <w:spacing w:after="0"/>
        <w:jc w:val="both"/>
        <w:rPr>
          <w:sz w:val="20"/>
          <w:szCs w:val="20"/>
        </w:rPr>
      </w:pPr>
    </w:p>
    <w:p w14:paraId="432DF687" w14:textId="2599257B" w:rsidR="00CE4D78" w:rsidRDefault="00CE4D78" w:rsidP="00CE4D78">
      <w:pPr>
        <w:pStyle w:val="ListParagraph"/>
        <w:numPr>
          <w:ilvl w:val="0"/>
          <w:numId w:val="2"/>
        </w:numPr>
        <w:spacing w:after="0"/>
        <w:jc w:val="both"/>
        <w:rPr>
          <w:sz w:val="20"/>
          <w:szCs w:val="20"/>
        </w:rPr>
      </w:pPr>
      <w:r w:rsidRPr="004C7832">
        <w:rPr>
          <w:sz w:val="20"/>
          <w:szCs w:val="20"/>
        </w:rPr>
        <w:t xml:space="preserve">The ductwork should be capable of providing Type A (fire outside) or </w:t>
      </w:r>
      <w:r w:rsidRPr="004C7832">
        <w:rPr>
          <w:sz w:val="20"/>
          <w:szCs w:val="20"/>
        </w:rPr>
        <w:t xml:space="preserve">Type </w:t>
      </w:r>
      <w:r w:rsidRPr="004C7832">
        <w:rPr>
          <w:sz w:val="20"/>
          <w:szCs w:val="20"/>
        </w:rPr>
        <w:t>B (fire inside)</w:t>
      </w:r>
      <w:r w:rsidRPr="004C7832">
        <w:rPr>
          <w:sz w:val="20"/>
          <w:szCs w:val="20"/>
        </w:rPr>
        <w:t xml:space="preserve"> </w:t>
      </w:r>
      <w:r w:rsidRPr="004C7832">
        <w:rPr>
          <w:sz w:val="20"/>
          <w:szCs w:val="20"/>
        </w:rPr>
        <w:t>fire containment and, under normal non-fire operating conditions, should conform to the pressure classification of the current HVCA DW/144 Specification for Sheet Metal Ductwork.</w:t>
      </w:r>
    </w:p>
    <w:p w14:paraId="6275A1C8" w14:textId="77777777" w:rsidR="00A71060" w:rsidRPr="00A71060" w:rsidRDefault="00A71060" w:rsidP="00A71060">
      <w:pPr>
        <w:pStyle w:val="ListParagraph"/>
        <w:rPr>
          <w:sz w:val="20"/>
          <w:szCs w:val="20"/>
        </w:rPr>
      </w:pPr>
    </w:p>
    <w:p w14:paraId="6CF9B823" w14:textId="77777777" w:rsidR="005B17D5" w:rsidRDefault="00A71060" w:rsidP="00CE4D78">
      <w:pPr>
        <w:pStyle w:val="ListParagraph"/>
        <w:numPr>
          <w:ilvl w:val="0"/>
          <w:numId w:val="2"/>
        </w:numPr>
        <w:spacing w:after="0"/>
        <w:jc w:val="both"/>
        <w:rPr>
          <w:sz w:val="20"/>
          <w:szCs w:val="20"/>
        </w:rPr>
      </w:pPr>
      <w:r>
        <w:rPr>
          <w:sz w:val="20"/>
          <w:szCs w:val="20"/>
        </w:rPr>
        <w:t xml:space="preserve">The Fire-resisting ductwork shall not be tempered or modified at the site. If any modification is required, it must be executed by the manufacturer at their facility to maintain the stability &amp; integrity ratings of the ductwork. </w:t>
      </w:r>
    </w:p>
    <w:p w14:paraId="431A0B01" w14:textId="77777777" w:rsidR="005B17D5" w:rsidRPr="005B17D5" w:rsidRDefault="005B17D5" w:rsidP="005B17D5">
      <w:pPr>
        <w:pStyle w:val="ListParagraph"/>
        <w:rPr>
          <w:sz w:val="20"/>
          <w:szCs w:val="20"/>
        </w:rPr>
      </w:pPr>
    </w:p>
    <w:p w14:paraId="458A373B" w14:textId="6815134A" w:rsidR="00A71060" w:rsidRPr="004C7832" w:rsidRDefault="00A71060" w:rsidP="00CE4D78">
      <w:pPr>
        <w:pStyle w:val="ListParagraph"/>
        <w:numPr>
          <w:ilvl w:val="0"/>
          <w:numId w:val="2"/>
        </w:numPr>
        <w:spacing w:after="0"/>
        <w:jc w:val="both"/>
        <w:rPr>
          <w:sz w:val="20"/>
          <w:szCs w:val="20"/>
        </w:rPr>
      </w:pPr>
      <w:r>
        <w:rPr>
          <w:sz w:val="20"/>
          <w:szCs w:val="20"/>
        </w:rPr>
        <w:t xml:space="preserve">Any modified </w:t>
      </w:r>
      <w:r w:rsidR="005B17D5">
        <w:rPr>
          <w:sz w:val="20"/>
          <w:szCs w:val="20"/>
        </w:rPr>
        <w:t>ducts marked during the inspection shall not be accepted. The consultant reserves the right to ask for replacement of those particular duct pieces.</w:t>
      </w:r>
    </w:p>
    <w:p w14:paraId="55577162" w14:textId="77777777" w:rsidR="00CE4D78" w:rsidRPr="004C7832" w:rsidRDefault="00CE4D78" w:rsidP="00CE4D78">
      <w:pPr>
        <w:spacing w:after="0"/>
        <w:jc w:val="both"/>
        <w:rPr>
          <w:sz w:val="20"/>
          <w:szCs w:val="20"/>
        </w:rPr>
      </w:pPr>
    </w:p>
    <w:p w14:paraId="50E40ED6" w14:textId="77777777" w:rsidR="005B17D5" w:rsidRDefault="00CE4D78" w:rsidP="005B17D5">
      <w:pPr>
        <w:pStyle w:val="ListParagraph"/>
        <w:numPr>
          <w:ilvl w:val="0"/>
          <w:numId w:val="2"/>
        </w:numPr>
        <w:spacing w:after="0"/>
        <w:jc w:val="both"/>
        <w:rPr>
          <w:sz w:val="20"/>
          <w:szCs w:val="20"/>
        </w:rPr>
      </w:pPr>
      <w:r w:rsidRPr="004C7832">
        <w:rPr>
          <w:sz w:val="20"/>
          <w:szCs w:val="20"/>
        </w:rPr>
        <w:lastRenderedPageBreak/>
        <w:t>All components used within the fire</w:t>
      </w:r>
      <w:r w:rsidR="004C7832">
        <w:rPr>
          <w:sz w:val="20"/>
          <w:szCs w:val="20"/>
        </w:rPr>
        <w:t>-resisting</w:t>
      </w:r>
      <w:r w:rsidRPr="004C7832">
        <w:rPr>
          <w:sz w:val="20"/>
          <w:szCs w:val="20"/>
        </w:rPr>
        <w:t xml:space="preserve"> ductwork system</w:t>
      </w:r>
      <w:r w:rsidRPr="004C7832">
        <w:rPr>
          <w:sz w:val="20"/>
          <w:szCs w:val="20"/>
        </w:rPr>
        <w:t>,</w:t>
      </w:r>
      <w:r w:rsidRPr="004C7832">
        <w:rPr>
          <w:sz w:val="20"/>
          <w:szCs w:val="20"/>
        </w:rPr>
        <w:t xml:space="preserve"> i.e., </w:t>
      </w:r>
      <w:r w:rsidRPr="004C7832">
        <w:rPr>
          <w:sz w:val="20"/>
          <w:szCs w:val="20"/>
        </w:rPr>
        <w:t>c</w:t>
      </w:r>
      <w:r w:rsidRPr="004C7832">
        <w:rPr>
          <w:sz w:val="20"/>
          <w:szCs w:val="20"/>
        </w:rPr>
        <w:t xml:space="preserve">ontrol </w:t>
      </w:r>
      <w:r w:rsidRPr="004C7832">
        <w:rPr>
          <w:sz w:val="20"/>
          <w:szCs w:val="20"/>
        </w:rPr>
        <w:t>d</w:t>
      </w:r>
      <w:r w:rsidRPr="004C7832">
        <w:rPr>
          <w:sz w:val="20"/>
          <w:szCs w:val="20"/>
        </w:rPr>
        <w:t>amper</w:t>
      </w:r>
      <w:r w:rsidRPr="004C7832">
        <w:rPr>
          <w:sz w:val="20"/>
          <w:szCs w:val="20"/>
        </w:rPr>
        <w:t>s (VCD/NRD)</w:t>
      </w:r>
      <w:r w:rsidRPr="004C7832">
        <w:rPr>
          <w:sz w:val="20"/>
          <w:szCs w:val="20"/>
        </w:rPr>
        <w:t xml:space="preserve">, sound attenuators, access </w:t>
      </w:r>
      <w:r w:rsidRPr="004C7832">
        <w:rPr>
          <w:sz w:val="20"/>
          <w:szCs w:val="20"/>
        </w:rPr>
        <w:t>doors</w:t>
      </w:r>
      <w:r w:rsidRPr="004C7832">
        <w:rPr>
          <w:sz w:val="20"/>
          <w:szCs w:val="20"/>
        </w:rPr>
        <w:t xml:space="preserve"> shall have equal or higher certification as ductwork and shall be defined in third party certification.</w:t>
      </w:r>
    </w:p>
    <w:p w14:paraId="581A18E2" w14:textId="77777777" w:rsidR="005B17D5" w:rsidRPr="005B17D5" w:rsidRDefault="005B17D5" w:rsidP="005B17D5">
      <w:pPr>
        <w:pStyle w:val="ListParagraph"/>
        <w:rPr>
          <w:sz w:val="20"/>
          <w:szCs w:val="20"/>
        </w:rPr>
      </w:pPr>
    </w:p>
    <w:p w14:paraId="1A9C55C3"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fire-resisting ductwork shall be tested for both Insulated ducts and Uninsulated ducts which shall be detailed in the third-party certification. </w:t>
      </w:r>
    </w:p>
    <w:p w14:paraId="7A92E1EB" w14:textId="77777777" w:rsidR="005B17D5" w:rsidRPr="005B17D5" w:rsidRDefault="005B17D5" w:rsidP="005B17D5">
      <w:pPr>
        <w:pStyle w:val="ListParagraph"/>
        <w:rPr>
          <w:sz w:val="20"/>
          <w:szCs w:val="20"/>
        </w:rPr>
      </w:pPr>
    </w:p>
    <w:p w14:paraId="6683BAF8"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fire-resisting ductwork should meet SMACNA, DW-144, NFPA requirements. </w:t>
      </w:r>
    </w:p>
    <w:p w14:paraId="66A8B03B" w14:textId="77777777" w:rsidR="005B17D5" w:rsidRPr="005B17D5" w:rsidRDefault="005B17D5" w:rsidP="005B17D5">
      <w:pPr>
        <w:pStyle w:val="ListParagraph"/>
        <w:rPr>
          <w:sz w:val="20"/>
          <w:szCs w:val="20"/>
        </w:rPr>
      </w:pPr>
    </w:p>
    <w:p w14:paraId="5E71FD58" w14:textId="77777777" w:rsidR="005B17D5" w:rsidRDefault="005B17D5" w:rsidP="005B17D5">
      <w:pPr>
        <w:pStyle w:val="ListParagraph"/>
        <w:numPr>
          <w:ilvl w:val="0"/>
          <w:numId w:val="2"/>
        </w:numPr>
        <w:spacing w:after="0"/>
        <w:jc w:val="both"/>
        <w:rPr>
          <w:sz w:val="20"/>
          <w:szCs w:val="20"/>
        </w:rPr>
      </w:pPr>
      <w:r w:rsidRPr="005B17D5">
        <w:rPr>
          <w:sz w:val="20"/>
          <w:szCs w:val="20"/>
        </w:rPr>
        <w:t>The complete fire-resisting duct system including duct, control dampers (VCD/NRD), sound attenuator, and, access doors should be tested and evaluated as an Assembly and approved by Civil Defense.</w:t>
      </w:r>
    </w:p>
    <w:p w14:paraId="56110431" w14:textId="77777777" w:rsidR="005B17D5" w:rsidRPr="005B17D5" w:rsidRDefault="005B17D5" w:rsidP="005B17D5">
      <w:pPr>
        <w:pStyle w:val="ListParagraph"/>
        <w:rPr>
          <w:sz w:val="20"/>
          <w:szCs w:val="20"/>
        </w:rPr>
      </w:pPr>
    </w:p>
    <w:p w14:paraId="6759EBC3" w14:textId="77777777" w:rsidR="005B17D5" w:rsidRDefault="005B17D5" w:rsidP="005B17D5">
      <w:pPr>
        <w:pStyle w:val="ListParagraph"/>
        <w:numPr>
          <w:ilvl w:val="0"/>
          <w:numId w:val="2"/>
        </w:numPr>
        <w:spacing w:after="0"/>
        <w:jc w:val="both"/>
        <w:rPr>
          <w:sz w:val="20"/>
          <w:szCs w:val="20"/>
        </w:rPr>
      </w:pPr>
      <w:r w:rsidRPr="005B17D5">
        <w:rPr>
          <w:sz w:val="20"/>
          <w:szCs w:val="20"/>
        </w:rPr>
        <w:t>Hanger support and fixing accessories should comply to the manufacturer’s third-party certificate (CF761), where the hanger specification will be detailed for required fire rating; to ensure that the supports can withstand the weight of the ductwork system and maintain its position throughout the intended period.</w:t>
      </w:r>
    </w:p>
    <w:p w14:paraId="7FB67FD6" w14:textId="77777777" w:rsidR="005B17D5" w:rsidRPr="005B17D5" w:rsidRDefault="005B17D5" w:rsidP="005B17D5">
      <w:pPr>
        <w:pStyle w:val="ListParagraph"/>
        <w:rPr>
          <w:sz w:val="20"/>
          <w:szCs w:val="20"/>
        </w:rPr>
      </w:pPr>
    </w:p>
    <w:p w14:paraId="5F4F6424"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Kitchen extract/Grease Ducts ductwork system shall be fabricated with Carbon Steel/Black Steel/Mild Steel sheets not less than 16-gauge thickness or stainless steel not less than 18-gauge thickness as per NFPA-96. The joints shall be fully welded and heat resistant galvanic coating shall be applied to the duct skin to ensure the material is corrosion resistant. </w:t>
      </w:r>
    </w:p>
    <w:p w14:paraId="03C19A0A" w14:textId="77777777" w:rsidR="005B17D5" w:rsidRPr="005B17D5" w:rsidRDefault="005B17D5" w:rsidP="005B17D5">
      <w:pPr>
        <w:pStyle w:val="ListParagraph"/>
        <w:rPr>
          <w:sz w:val="20"/>
          <w:szCs w:val="20"/>
        </w:rPr>
      </w:pPr>
    </w:p>
    <w:p w14:paraId="53D5DF7E" w14:textId="77777777" w:rsidR="005B17D5" w:rsidRDefault="005B17D5" w:rsidP="005B17D5">
      <w:pPr>
        <w:pStyle w:val="ListParagraph"/>
        <w:numPr>
          <w:ilvl w:val="0"/>
          <w:numId w:val="2"/>
        </w:numPr>
        <w:spacing w:after="0"/>
        <w:jc w:val="both"/>
        <w:rPr>
          <w:sz w:val="20"/>
          <w:szCs w:val="20"/>
        </w:rPr>
      </w:pPr>
      <w:r w:rsidRPr="005B17D5">
        <w:rPr>
          <w:sz w:val="20"/>
          <w:szCs w:val="20"/>
        </w:rPr>
        <w:t>Insulation for Kitchen extract/Grease ducts shall be tested and approved as per BS-476 Part24, ASTM E2816, ASTM E2336 for stability, Integrity and Insulation criteria and shall carry a valid civil defense approval.</w:t>
      </w:r>
    </w:p>
    <w:p w14:paraId="4EEBD936" w14:textId="77777777" w:rsidR="005B17D5" w:rsidRPr="005B17D5" w:rsidRDefault="005B17D5" w:rsidP="005B17D5">
      <w:pPr>
        <w:pStyle w:val="ListParagraph"/>
        <w:rPr>
          <w:sz w:val="20"/>
          <w:szCs w:val="20"/>
        </w:rPr>
      </w:pPr>
    </w:p>
    <w:p w14:paraId="1C5EF847" w14:textId="3B0F44F9" w:rsidR="005B17D5" w:rsidRPr="005B17D5" w:rsidRDefault="005B17D5" w:rsidP="005B17D5">
      <w:pPr>
        <w:pStyle w:val="ListParagraph"/>
        <w:numPr>
          <w:ilvl w:val="0"/>
          <w:numId w:val="2"/>
        </w:numPr>
        <w:spacing w:after="0"/>
        <w:jc w:val="both"/>
        <w:rPr>
          <w:sz w:val="20"/>
          <w:szCs w:val="20"/>
        </w:rPr>
      </w:pPr>
      <w:r w:rsidRPr="005B17D5">
        <w:rPr>
          <w:sz w:val="20"/>
          <w:szCs w:val="20"/>
        </w:rPr>
        <w:t>The Fire-resisting Ductwork should be constructed in accordance with the Manufacturer Guide to provide:</w:t>
      </w:r>
    </w:p>
    <w:p w14:paraId="02677977" w14:textId="77777777" w:rsidR="005B17D5" w:rsidRPr="004C7832" w:rsidRDefault="005B17D5" w:rsidP="005B17D5">
      <w:pPr>
        <w:pStyle w:val="ListParagraph"/>
        <w:numPr>
          <w:ilvl w:val="1"/>
          <w:numId w:val="2"/>
        </w:numPr>
        <w:spacing w:after="0"/>
        <w:jc w:val="both"/>
        <w:rPr>
          <w:sz w:val="20"/>
          <w:szCs w:val="20"/>
        </w:rPr>
      </w:pPr>
      <w:r w:rsidRPr="004C7832">
        <w:rPr>
          <w:sz w:val="20"/>
          <w:szCs w:val="20"/>
        </w:rPr>
        <w:t>Stability – Min. 120 – Max. 240 minutes;</w:t>
      </w:r>
    </w:p>
    <w:p w14:paraId="56AB6A26" w14:textId="77777777" w:rsidR="005B17D5" w:rsidRPr="004C7832" w:rsidRDefault="005B17D5" w:rsidP="005B17D5">
      <w:pPr>
        <w:pStyle w:val="ListParagraph"/>
        <w:numPr>
          <w:ilvl w:val="1"/>
          <w:numId w:val="2"/>
        </w:numPr>
        <w:spacing w:after="0"/>
        <w:jc w:val="both"/>
        <w:rPr>
          <w:sz w:val="20"/>
          <w:szCs w:val="20"/>
        </w:rPr>
      </w:pPr>
      <w:r w:rsidRPr="004C7832">
        <w:rPr>
          <w:sz w:val="20"/>
          <w:szCs w:val="20"/>
        </w:rPr>
        <w:t>Integrity - Min. 120 – Max. 240 minutes;</w:t>
      </w:r>
    </w:p>
    <w:p w14:paraId="09141C30" w14:textId="77777777" w:rsidR="005B17D5" w:rsidRPr="004C7832" w:rsidRDefault="005B17D5" w:rsidP="005B17D5">
      <w:pPr>
        <w:pStyle w:val="ListParagraph"/>
        <w:numPr>
          <w:ilvl w:val="1"/>
          <w:numId w:val="2"/>
        </w:numPr>
        <w:spacing w:after="0"/>
        <w:jc w:val="both"/>
        <w:rPr>
          <w:sz w:val="20"/>
          <w:szCs w:val="20"/>
        </w:rPr>
      </w:pPr>
      <w:r w:rsidRPr="004C7832">
        <w:rPr>
          <w:sz w:val="20"/>
          <w:szCs w:val="20"/>
        </w:rPr>
        <w:t>Insulation - up to 180 minutes (subject to requirements);</w:t>
      </w:r>
    </w:p>
    <w:p w14:paraId="638A0286" w14:textId="77777777" w:rsidR="005B17D5" w:rsidRPr="004C7832" w:rsidRDefault="005B17D5" w:rsidP="005B17D5">
      <w:pPr>
        <w:pStyle w:val="ListParagraph"/>
        <w:numPr>
          <w:ilvl w:val="1"/>
          <w:numId w:val="2"/>
        </w:numPr>
        <w:spacing w:after="0"/>
        <w:jc w:val="both"/>
        <w:rPr>
          <w:sz w:val="20"/>
          <w:szCs w:val="20"/>
        </w:rPr>
      </w:pPr>
      <w:r w:rsidRPr="004C7832">
        <w:rPr>
          <w:sz w:val="20"/>
          <w:szCs w:val="20"/>
        </w:rPr>
        <w:t xml:space="preserve">When tested to the requirements of BS476 Part24 by civil defense approved laboratory at temperature of 1049 °C for 2-hours or 1153°C for 4-hours (in accordance to ISO 834:1975 Fire Resistance Test Standard Time – Temperature Curve), with a valid civil </w:t>
      </w:r>
      <w:proofErr w:type="spellStart"/>
      <w:r w:rsidRPr="004C7832">
        <w:rPr>
          <w:sz w:val="20"/>
          <w:szCs w:val="20"/>
        </w:rPr>
        <w:t>defence</w:t>
      </w:r>
      <w:proofErr w:type="spellEnd"/>
      <w:r w:rsidRPr="004C7832">
        <w:rPr>
          <w:sz w:val="20"/>
          <w:szCs w:val="20"/>
        </w:rPr>
        <w:t xml:space="preserve"> certification mentioning certificate number &amp; testing reference confirmation.</w:t>
      </w:r>
    </w:p>
    <w:p w14:paraId="408FCB83" w14:textId="68D22CBC" w:rsidR="005B17D5" w:rsidRPr="004C7832" w:rsidRDefault="005B17D5" w:rsidP="005B17D5">
      <w:pPr>
        <w:spacing w:after="0"/>
        <w:jc w:val="both"/>
        <w:rPr>
          <w:sz w:val="20"/>
          <w:szCs w:val="20"/>
        </w:rPr>
      </w:pPr>
      <w:r w:rsidRPr="004C7832">
        <w:rPr>
          <w:rFonts w:cstheme="minorHAnsi"/>
          <w:noProof/>
          <w:sz w:val="20"/>
          <w:szCs w:val="20"/>
        </w:rPr>
        <w:drawing>
          <wp:anchor distT="0" distB="0" distL="0" distR="0" simplePos="0" relativeHeight="251659264" behindDoc="0" locked="0" layoutInCell="1" allowOverlap="1" wp14:anchorId="1C62B518" wp14:editId="498CFCB7">
            <wp:simplePos x="0" y="0"/>
            <wp:positionH relativeFrom="margin">
              <wp:align>center</wp:align>
            </wp:positionH>
            <wp:positionV relativeFrom="paragraph">
              <wp:posOffset>123190</wp:posOffset>
            </wp:positionV>
            <wp:extent cx="3771900" cy="2471320"/>
            <wp:effectExtent l="0" t="0" r="0" b="571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771900" cy="2471320"/>
                    </a:xfrm>
                    <a:prstGeom prst="rect">
                      <a:avLst/>
                    </a:prstGeom>
                  </pic:spPr>
                </pic:pic>
              </a:graphicData>
            </a:graphic>
            <wp14:sizeRelH relativeFrom="margin">
              <wp14:pctWidth>0</wp14:pctWidth>
            </wp14:sizeRelH>
            <wp14:sizeRelV relativeFrom="margin">
              <wp14:pctHeight>0</wp14:pctHeight>
            </wp14:sizeRelV>
          </wp:anchor>
        </w:drawing>
      </w:r>
    </w:p>
    <w:p w14:paraId="677F2B97" w14:textId="411F4CCD" w:rsidR="005B17D5" w:rsidRPr="004C7832" w:rsidRDefault="005B17D5" w:rsidP="005B17D5">
      <w:pPr>
        <w:spacing w:after="0"/>
        <w:jc w:val="both"/>
        <w:rPr>
          <w:sz w:val="20"/>
          <w:szCs w:val="20"/>
        </w:rPr>
      </w:pPr>
    </w:p>
    <w:p w14:paraId="14B8393E" w14:textId="77777777" w:rsidR="005B17D5" w:rsidRPr="004C7832" w:rsidRDefault="005B17D5" w:rsidP="005B17D5">
      <w:pPr>
        <w:spacing w:after="0"/>
        <w:jc w:val="both"/>
        <w:rPr>
          <w:sz w:val="20"/>
          <w:szCs w:val="20"/>
        </w:rPr>
      </w:pPr>
    </w:p>
    <w:p w14:paraId="7A78BCE3" w14:textId="77777777" w:rsidR="005B17D5" w:rsidRPr="004C7832" w:rsidRDefault="005B17D5" w:rsidP="005B17D5">
      <w:pPr>
        <w:spacing w:after="0"/>
        <w:jc w:val="both"/>
        <w:rPr>
          <w:sz w:val="20"/>
          <w:szCs w:val="20"/>
        </w:rPr>
      </w:pPr>
    </w:p>
    <w:p w14:paraId="04F3479B" w14:textId="77777777" w:rsidR="005B17D5" w:rsidRPr="004C7832" w:rsidRDefault="005B17D5" w:rsidP="005B17D5">
      <w:pPr>
        <w:spacing w:after="0"/>
        <w:jc w:val="both"/>
        <w:rPr>
          <w:sz w:val="20"/>
          <w:szCs w:val="20"/>
        </w:rPr>
      </w:pPr>
    </w:p>
    <w:p w14:paraId="040EB198" w14:textId="77777777" w:rsidR="005B17D5" w:rsidRPr="004C7832" w:rsidRDefault="005B17D5" w:rsidP="005B17D5">
      <w:pPr>
        <w:spacing w:after="0"/>
        <w:jc w:val="both"/>
        <w:rPr>
          <w:sz w:val="20"/>
          <w:szCs w:val="20"/>
        </w:rPr>
      </w:pPr>
    </w:p>
    <w:p w14:paraId="42BFD51B" w14:textId="77777777" w:rsidR="005B17D5" w:rsidRPr="004C7832" w:rsidRDefault="005B17D5" w:rsidP="005B17D5">
      <w:pPr>
        <w:spacing w:after="0"/>
        <w:jc w:val="both"/>
        <w:rPr>
          <w:sz w:val="20"/>
          <w:szCs w:val="20"/>
        </w:rPr>
      </w:pPr>
    </w:p>
    <w:p w14:paraId="545F5230" w14:textId="77777777" w:rsidR="005B17D5" w:rsidRPr="004C7832" w:rsidRDefault="005B17D5" w:rsidP="005B17D5">
      <w:pPr>
        <w:spacing w:after="0"/>
        <w:jc w:val="both"/>
        <w:rPr>
          <w:sz w:val="20"/>
          <w:szCs w:val="20"/>
        </w:rPr>
      </w:pPr>
    </w:p>
    <w:p w14:paraId="67E0CC0F" w14:textId="77777777" w:rsidR="005B17D5" w:rsidRPr="004C7832" w:rsidRDefault="005B17D5" w:rsidP="005B17D5">
      <w:pPr>
        <w:spacing w:after="0"/>
        <w:jc w:val="both"/>
        <w:rPr>
          <w:sz w:val="20"/>
          <w:szCs w:val="20"/>
        </w:rPr>
      </w:pPr>
    </w:p>
    <w:p w14:paraId="3601465F" w14:textId="77777777" w:rsidR="005B17D5" w:rsidRPr="004C7832" w:rsidRDefault="005B17D5" w:rsidP="005B17D5">
      <w:pPr>
        <w:spacing w:after="0"/>
        <w:jc w:val="both"/>
        <w:rPr>
          <w:sz w:val="20"/>
          <w:szCs w:val="20"/>
        </w:rPr>
      </w:pPr>
    </w:p>
    <w:p w14:paraId="69F58C11" w14:textId="77777777" w:rsidR="005B17D5" w:rsidRPr="004C7832" w:rsidRDefault="005B17D5" w:rsidP="005B17D5">
      <w:pPr>
        <w:spacing w:after="0"/>
        <w:jc w:val="both"/>
        <w:rPr>
          <w:sz w:val="20"/>
          <w:szCs w:val="20"/>
        </w:rPr>
      </w:pPr>
    </w:p>
    <w:p w14:paraId="0C0B550D" w14:textId="77777777" w:rsidR="005B17D5" w:rsidRPr="004C7832" w:rsidRDefault="005B17D5" w:rsidP="005B17D5">
      <w:pPr>
        <w:spacing w:after="0"/>
        <w:jc w:val="both"/>
        <w:rPr>
          <w:sz w:val="20"/>
          <w:szCs w:val="20"/>
        </w:rPr>
      </w:pPr>
    </w:p>
    <w:p w14:paraId="29CA8447" w14:textId="77777777" w:rsidR="005B17D5" w:rsidRPr="004C7832" w:rsidRDefault="005B17D5" w:rsidP="005B17D5">
      <w:pPr>
        <w:spacing w:after="0"/>
        <w:jc w:val="both"/>
        <w:rPr>
          <w:sz w:val="20"/>
          <w:szCs w:val="20"/>
        </w:rPr>
      </w:pPr>
    </w:p>
    <w:p w14:paraId="5941663E" w14:textId="77777777" w:rsidR="005B17D5" w:rsidRPr="004C7832" w:rsidRDefault="005B17D5" w:rsidP="005B17D5">
      <w:pPr>
        <w:spacing w:after="0"/>
        <w:jc w:val="both"/>
        <w:rPr>
          <w:sz w:val="20"/>
          <w:szCs w:val="20"/>
        </w:rPr>
      </w:pPr>
    </w:p>
    <w:p w14:paraId="3CFC392E" w14:textId="77777777" w:rsidR="005B17D5" w:rsidRPr="004C7832" w:rsidRDefault="005B17D5" w:rsidP="005B17D5">
      <w:pPr>
        <w:spacing w:after="0"/>
        <w:jc w:val="both"/>
        <w:rPr>
          <w:sz w:val="20"/>
          <w:szCs w:val="20"/>
        </w:rPr>
      </w:pPr>
    </w:p>
    <w:p w14:paraId="332A7FB0" w14:textId="77777777" w:rsidR="005B17D5" w:rsidRPr="004C7832" w:rsidRDefault="005B17D5" w:rsidP="005B17D5">
      <w:pPr>
        <w:spacing w:after="0"/>
        <w:jc w:val="both"/>
        <w:rPr>
          <w:sz w:val="20"/>
          <w:szCs w:val="20"/>
        </w:rPr>
      </w:pPr>
    </w:p>
    <w:p w14:paraId="6FC96633" w14:textId="77777777" w:rsidR="005B17D5" w:rsidRPr="004C7832" w:rsidRDefault="005B17D5" w:rsidP="005B17D5">
      <w:pPr>
        <w:spacing w:after="0"/>
        <w:jc w:val="center"/>
        <w:rPr>
          <w:sz w:val="20"/>
          <w:szCs w:val="20"/>
        </w:rPr>
      </w:pPr>
      <w:r w:rsidRPr="004C7832">
        <w:rPr>
          <w:sz w:val="20"/>
          <w:szCs w:val="20"/>
        </w:rPr>
        <w:t>Figure 1: - Time – Temperature Curve</w:t>
      </w:r>
    </w:p>
    <w:p w14:paraId="10866168"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contractor shall follow the manufacturer’s installation guidelines for supports, hangers, sealants, gaskets, clamps as directed in their installation schedule of ductwork by referring the approved third-party certificate (CF761). </w:t>
      </w:r>
    </w:p>
    <w:p w14:paraId="0E539432" w14:textId="77777777" w:rsidR="005B17D5" w:rsidRPr="005B17D5" w:rsidRDefault="005B17D5" w:rsidP="005B17D5">
      <w:pPr>
        <w:pStyle w:val="ListParagraph"/>
        <w:rPr>
          <w:sz w:val="20"/>
          <w:szCs w:val="20"/>
        </w:rPr>
      </w:pPr>
    </w:p>
    <w:p w14:paraId="0E8A1C1B" w14:textId="77777777" w:rsidR="005B17D5" w:rsidRDefault="005B17D5" w:rsidP="005B17D5">
      <w:pPr>
        <w:pStyle w:val="ListParagraph"/>
        <w:numPr>
          <w:ilvl w:val="0"/>
          <w:numId w:val="2"/>
        </w:numPr>
        <w:spacing w:after="0"/>
        <w:jc w:val="both"/>
        <w:rPr>
          <w:sz w:val="20"/>
          <w:szCs w:val="20"/>
        </w:rPr>
      </w:pPr>
      <w:r w:rsidRPr="005B17D5">
        <w:rPr>
          <w:sz w:val="20"/>
          <w:szCs w:val="20"/>
        </w:rPr>
        <w:t>The manufacturer shall certify the installed fire-resisting ductwork and submit a satisfactory/conformance inspection report to the consultant.</w:t>
      </w:r>
    </w:p>
    <w:p w14:paraId="6364FE3D" w14:textId="77777777" w:rsidR="005B17D5" w:rsidRPr="005B17D5" w:rsidRDefault="005B17D5" w:rsidP="005B17D5">
      <w:pPr>
        <w:pStyle w:val="ListParagraph"/>
        <w:rPr>
          <w:sz w:val="20"/>
          <w:szCs w:val="20"/>
        </w:rPr>
      </w:pPr>
    </w:p>
    <w:p w14:paraId="4419B223"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duct shall be installed by civil defense approved contractor. </w:t>
      </w:r>
    </w:p>
    <w:p w14:paraId="28D3C70D" w14:textId="77777777" w:rsidR="005B17D5" w:rsidRPr="005B17D5" w:rsidRDefault="005B17D5" w:rsidP="005B17D5">
      <w:pPr>
        <w:pStyle w:val="ListParagraph"/>
        <w:rPr>
          <w:sz w:val="20"/>
          <w:szCs w:val="20"/>
        </w:rPr>
      </w:pPr>
    </w:p>
    <w:p w14:paraId="70AE6AC0" w14:textId="77777777" w:rsidR="005B17D5" w:rsidRDefault="005B17D5" w:rsidP="005B17D5">
      <w:pPr>
        <w:pStyle w:val="ListParagraph"/>
        <w:numPr>
          <w:ilvl w:val="0"/>
          <w:numId w:val="2"/>
        </w:numPr>
        <w:spacing w:after="0"/>
        <w:jc w:val="both"/>
        <w:rPr>
          <w:sz w:val="20"/>
          <w:szCs w:val="20"/>
        </w:rPr>
      </w:pPr>
      <w:r w:rsidRPr="005B17D5">
        <w:rPr>
          <w:sz w:val="20"/>
          <w:szCs w:val="20"/>
        </w:rPr>
        <w:t xml:space="preserve">The manufacturer shall provide supply certificate for delivered material; if installation by the contractor is executed as per guidelines. </w:t>
      </w:r>
    </w:p>
    <w:p w14:paraId="6E423179" w14:textId="77777777" w:rsidR="005B17D5" w:rsidRPr="005B17D5" w:rsidRDefault="005B17D5" w:rsidP="005B17D5">
      <w:pPr>
        <w:pStyle w:val="ListParagraph"/>
        <w:rPr>
          <w:sz w:val="20"/>
          <w:szCs w:val="20"/>
        </w:rPr>
      </w:pPr>
    </w:p>
    <w:p w14:paraId="24F1AFCA" w14:textId="77777777" w:rsidR="005B17D5" w:rsidRDefault="005B17D5" w:rsidP="005B17D5">
      <w:pPr>
        <w:pStyle w:val="ListParagraph"/>
        <w:numPr>
          <w:ilvl w:val="0"/>
          <w:numId w:val="2"/>
        </w:numPr>
        <w:spacing w:after="0"/>
        <w:jc w:val="both"/>
        <w:rPr>
          <w:sz w:val="20"/>
          <w:szCs w:val="20"/>
        </w:rPr>
      </w:pPr>
      <w:r w:rsidRPr="005B17D5">
        <w:rPr>
          <w:sz w:val="20"/>
          <w:szCs w:val="20"/>
        </w:rPr>
        <w:t>The fire-resisting duct manufacturer shall provide minimum 5 years of track record of at least 10 projects executed in GCC; to ensure the manufacturers credibility and manufacturing capabilities.</w:t>
      </w:r>
    </w:p>
    <w:p w14:paraId="66F1911A" w14:textId="77777777" w:rsidR="005B17D5" w:rsidRPr="005B17D5" w:rsidRDefault="005B17D5" w:rsidP="005B17D5">
      <w:pPr>
        <w:pStyle w:val="ListParagraph"/>
        <w:rPr>
          <w:sz w:val="20"/>
          <w:szCs w:val="20"/>
        </w:rPr>
      </w:pPr>
    </w:p>
    <w:p w14:paraId="600990AE" w14:textId="778E30C3" w:rsidR="005B17D5" w:rsidRPr="005B17D5" w:rsidRDefault="005B17D5" w:rsidP="005B17D5">
      <w:pPr>
        <w:pStyle w:val="ListParagraph"/>
        <w:numPr>
          <w:ilvl w:val="0"/>
          <w:numId w:val="2"/>
        </w:numPr>
        <w:spacing w:after="0"/>
        <w:jc w:val="both"/>
        <w:rPr>
          <w:sz w:val="20"/>
          <w:szCs w:val="20"/>
        </w:rPr>
      </w:pPr>
      <w:r w:rsidRPr="005B17D5">
        <w:rPr>
          <w:sz w:val="20"/>
          <w:szCs w:val="20"/>
        </w:rPr>
        <w:t>In addition to above, the fire-resisting ducts should meet requirements of the UAE Fire &amp; Life Safety Code, Chapter 10 – Table 10.1 as mentioned below:</w:t>
      </w:r>
    </w:p>
    <w:p w14:paraId="6A00551A" w14:textId="77777777" w:rsidR="005B17D5" w:rsidRPr="004C7832" w:rsidRDefault="005B17D5" w:rsidP="005B17D5">
      <w:pPr>
        <w:pStyle w:val="ListParagraph"/>
        <w:numPr>
          <w:ilvl w:val="1"/>
          <w:numId w:val="2"/>
        </w:numPr>
        <w:spacing w:beforeLines="40" w:before="96" w:afterLines="80" w:after="192"/>
        <w:jc w:val="both"/>
        <w:rPr>
          <w:sz w:val="20"/>
          <w:szCs w:val="20"/>
        </w:rPr>
      </w:pPr>
      <w:r w:rsidRPr="004C7832">
        <w:rPr>
          <w:sz w:val="20"/>
          <w:szCs w:val="20"/>
        </w:rPr>
        <w:t>Fire</w:t>
      </w:r>
      <w:r>
        <w:rPr>
          <w:sz w:val="20"/>
          <w:szCs w:val="20"/>
        </w:rPr>
        <w:t>-resisting</w:t>
      </w:r>
      <w:r w:rsidRPr="004C7832">
        <w:rPr>
          <w:sz w:val="20"/>
          <w:szCs w:val="20"/>
        </w:rPr>
        <w:t xml:space="preserve"> Ductwork for Smoke Control Systems (both exhaust and make-up air ducts) shall be manufactured to provide at least 2-hour fire resistance.</w:t>
      </w:r>
    </w:p>
    <w:p w14:paraId="29CDA3E2" w14:textId="77777777" w:rsidR="005B17D5" w:rsidRPr="004C7832" w:rsidRDefault="005B17D5" w:rsidP="005B17D5">
      <w:pPr>
        <w:pStyle w:val="ListParagraph"/>
        <w:numPr>
          <w:ilvl w:val="1"/>
          <w:numId w:val="2"/>
        </w:numPr>
        <w:spacing w:beforeLines="40" w:before="96" w:afterLines="80" w:after="192"/>
        <w:jc w:val="both"/>
        <w:rPr>
          <w:sz w:val="20"/>
          <w:szCs w:val="20"/>
        </w:rPr>
      </w:pPr>
      <w:r w:rsidRPr="004C7832">
        <w:rPr>
          <w:sz w:val="20"/>
          <w:szCs w:val="20"/>
        </w:rPr>
        <w:t>Where a duct passes through other fire compartments of higher rating, the duct shall be constructed to have the same rating of that compartment. The rating shall apply to fire exposure from both interior and exterior of the duct or structure.</w:t>
      </w:r>
    </w:p>
    <w:p w14:paraId="5114DBFC" w14:textId="77777777" w:rsidR="005B17D5" w:rsidRPr="004C7832" w:rsidRDefault="005B17D5" w:rsidP="005B17D5">
      <w:pPr>
        <w:pStyle w:val="ListParagraph"/>
        <w:numPr>
          <w:ilvl w:val="1"/>
          <w:numId w:val="2"/>
        </w:numPr>
        <w:spacing w:beforeLines="40" w:before="96" w:afterLines="80" w:after="192"/>
        <w:jc w:val="both"/>
        <w:rPr>
          <w:sz w:val="20"/>
          <w:szCs w:val="20"/>
        </w:rPr>
      </w:pPr>
      <w:r w:rsidRPr="004C7832">
        <w:rPr>
          <w:sz w:val="20"/>
          <w:szCs w:val="20"/>
        </w:rPr>
        <w:t>Such fire rating of smoke control system ducts shall be evaluated and approved for Stability, Integrity and Insulation criteria for fire rating.</w:t>
      </w:r>
    </w:p>
    <w:p w14:paraId="284825F2" w14:textId="77777777" w:rsidR="005B17D5" w:rsidRPr="004C7832" w:rsidRDefault="005B17D5" w:rsidP="005B17D5">
      <w:pPr>
        <w:pStyle w:val="ListParagraph"/>
        <w:numPr>
          <w:ilvl w:val="1"/>
          <w:numId w:val="2"/>
        </w:numPr>
        <w:spacing w:beforeLines="40" w:before="96" w:afterLines="80" w:after="192"/>
        <w:jc w:val="both"/>
        <w:rPr>
          <w:sz w:val="20"/>
          <w:szCs w:val="20"/>
        </w:rPr>
      </w:pPr>
      <w:r w:rsidRPr="004C7832">
        <w:rPr>
          <w:sz w:val="20"/>
          <w:szCs w:val="20"/>
        </w:rPr>
        <w:t>The complete duct system including supports, hangers, joints, gaskets, sealant etc. shall be in compliance with the approved test standards, i.e., BS 476 Part 24 or EN-1366.</w:t>
      </w:r>
    </w:p>
    <w:p w14:paraId="5EB0CF81" w14:textId="77777777" w:rsidR="005B17D5" w:rsidRDefault="005B17D5" w:rsidP="00CE4D78">
      <w:pPr>
        <w:pStyle w:val="ListParagraph"/>
        <w:rPr>
          <w:sz w:val="20"/>
          <w:szCs w:val="20"/>
        </w:rPr>
      </w:pPr>
    </w:p>
    <w:p w14:paraId="7945D723" w14:textId="032FDA1A" w:rsidR="00CE4D78" w:rsidRPr="004C7832" w:rsidRDefault="00CE4D78" w:rsidP="0008337A">
      <w:pPr>
        <w:pStyle w:val="ListParagraph"/>
        <w:numPr>
          <w:ilvl w:val="0"/>
          <w:numId w:val="2"/>
        </w:numPr>
        <w:spacing w:beforeLines="40" w:before="96" w:afterLines="80" w:after="192"/>
        <w:jc w:val="both"/>
        <w:rPr>
          <w:sz w:val="20"/>
          <w:szCs w:val="20"/>
        </w:rPr>
      </w:pPr>
      <w:r w:rsidRPr="004C7832">
        <w:rPr>
          <w:sz w:val="20"/>
          <w:szCs w:val="20"/>
        </w:rPr>
        <w:t xml:space="preserve">Static Pressure Limits: </w:t>
      </w:r>
      <w:r w:rsidR="00032CE0" w:rsidRPr="004C7832">
        <w:rPr>
          <w:sz w:val="20"/>
          <w:szCs w:val="20"/>
        </w:rPr>
        <w:t>F</w:t>
      </w:r>
      <w:r w:rsidRPr="004C7832">
        <w:rPr>
          <w:sz w:val="20"/>
          <w:szCs w:val="20"/>
        </w:rPr>
        <w:t>ire</w:t>
      </w:r>
      <w:r w:rsidR="00032CE0" w:rsidRPr="004C7832">
        <w:rPr>
          <w:sz w:val="20"/>
          <w:szCs w:val="20"/>
        </w:rPr>
        <w:t>-</w:t>
      </w:r>
      <w:r w:rsidR="004C7832">
        <w:rPr>
          <w:sz w:val="20"/>
          <w:szCs w:val="20"/>
        </w:rPr>
        <w:t>resisting</w:t>
      </w:r>
      <w:r w:rsidRPr="004C7832">
        <w:rPr>
          <w:sz w:val="20"/>
          <w:szCs w:val="20"/>
        </w:rPr>
        <w:t xml:space="preserve"> ductwork shall be constructed to meet maximum pressure classification defined by fan manufacture irrespective of thicknesses approved for fire rating.</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03"/>
        <w:gridCol w:w="904"/>
        <w:gridCol w:w="1775"/>
        <w:gridCol w:w="1996"/>
      </w:tblGrid>
      <w:tr w:rsidR="00032CE0" w:rsidRPr="004C7832" w14:paraId="49718DBA" w14:textId="77777777" w:rsidTr="00354BCC">
        <w:trPr>
          <w:trHeight w:val="179"/>
          <w:jc w:val="center"/>
        </w:trPr>
        <w:tc>
          <w:tcPr>
            <w:tcW w:w="1803" w:type="dxa"/>
            <w:vMerge w:val="restart"/>
            <w:vAlign w:val="center"/>
          </w:tcPr>
          <w:p w14:paraId="08E4FB73"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Pressure /</w:t>
            </w:r>
          </w:p>
          <w:p w14:paraId="538F1244"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Velocity</w:t>
            </w:r>
          </w:p>
        </w:tc>
        <w:tc>
          <w:tcPr>
            <w:tcW w:w="904" w:type="dxa"/>
            <w:vMerge w:val="restart"/>
            <w:vAlign w:val="center"/>
          </w:tcPr>
          <w:p w14:paraId="32BC89FA" w14:textId="77777777" w:rsidR="00032CE0" w:rsidRPr="004C7832" w:rsidRDefault="00032CE0" w:rsidP="0008337A">
            <w:pPr>
              <w:spacing w:beforeLines="40" w:before="96" w:afterLines="80" w:after="192"/>
              <w:ind w:right="95"/>
              <w:jc w:val="center"/>
              <w:rPr>
                <w:rFonts w:cstheme="minorHAnsi"/>
                <w:sz w:val="20"/>
                <w:szCs w:val="20"/>
                <w:lang w:bidi="en-US"/>
              </w:rPr>
            </w:pPr>
          </w:p>
          <w:p w14:paraId="06061C68"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Class</w:t>
            </w:r>
          </w:p>
        </w:tc>
        <w:tc>
          <w:tcPr>
            <w:tcW w:w="3771" w:type="dxa"/>
            <w:gridSpan w:val="2"/>
            <w:vAlign w:val="center"/>
          </w:tcPr>
          <w:p w14:paraId="337C7A6E"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Pressure level Range</w:t>
            </w:r>
          </w:p>
        </w:tc>
      </w:tr>
      <w:tr w:rsidR="00032CE0" w:rsidRPr="004C7832" w14:paraId="0221E66D" w14:textId="77777777" w:rsidTr="00354BCC">
        <w:trPr>
          <w:trHeight w:val="144"/>
          <w:jc w:val="center"/>
        </w:trPr>
        <w:tc>
          <w:tcPr>
            <w:tcW w:w="1803" w:type="dxa"/>
            <w:vMerge/>
            <w:tcBorders>
              <w:top w:val="nil"/>
            </w:tcBorders>
            <w:vAlign w:val="center"/>
          </w:tcPr>
          <w:p w14:paraId="2456E227" w14:textId="77777777" w:rsidR="00032CE0" w:rsidRPr="004C7832" w:rsidRDefault="00032CE0" w:rsidP="0008337A">
            <w:pPr>
              <w:spacing w:beforeLines="40" w:before="96" w:afterLines="80" w:after="192"/>
              <w:ind w:right="95"/>
              <w:jc w:val="center"/>
              <w:rPr>
                <w:rFonts w:cstheme="minorHAnsi"/>
                <w:sz w:val="20"/>
                <w:szCs w:val="20"/>
                <w:lang w:bidi="en-US"/>
              </w:rPr>
            </w:pPr>
          </w:p>
        </w:tc>
        <w:tc>
          <w:tcPr>
            <w:tcW w:w="904" w:type="dxa"/>
            <w:vMerge/>
            <w:tcBorders>
              <w:top w:val="nil"/>
            </w:tcBorders>
            <w:vAlign w:val="center"/>
          </w:tcPr>
          <w:p w14:paraId="342EB3E2" w14:textId="77777777" w:rsidR="00032CE0" w:rsidRPr="004C7832" w:rsidRDefault="00032CE0" w:rsidP="0008337A">
            <w:pPr>
              <w:spacing w:beforeLines="40" w:before="96" w:afterLines="80" w:after="192"/>
              <w:ind w:right="95"/>
              <w:jc w:val="center"/>
              <w:rPr>
                <w:rFonts w:cstheme="minorHAnsi"/>
                <w:sz w:val="20"/>
                <w:szCs w:val="20"/>
                <w:lang w:bidi="en-US"/>
              </w:rPr>
            </w:pPr>
          </w:p>
        </w:tc>
        <w:tc>
          <w:tcPr>
            <w:tcW w:w="1775" w:type="dxa"/>
            <w:vAlign w:val="center"/>
          </w:tcPr>
          <w:p w14:paraId="7EB7A40A"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Positive Pressure</w:t>
            </w:r>
          </w:p>
        </w:tc>
        <w:tc>
          <w:tcPr>
            <w:tcW w:w="1996" w:type="dxa"/>
            <w:vAlign w:val="center"/>
          </w:tcPr>
          <w:p w14:paraId="661D03A6"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Negative Pressure</w:t>
            </w:r>
          </w:p>
        </w:tc>
      </w:tr>
      <w:tr w:rsidR="00032CE0" w:rsidRPr="004C7832" w14:paraId="484AF61F" w14:textId="77777777" w:rsidTr="00354BCC">
        <w:trPr>
          <w:trHeight w:val="209"/>
          <w:jc w:val="center"/>
        </w:trPr>
        <w:tc>
          <w:tcPr>
            <w:tcW w:w="1803" w:type="dxa"/>
            <w:vAlign w:val="center"/>
          </w:tcPr>
          <w:p w14:paraId="6991A562"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Low</w:t>
            </w:r>
          </w:p>
        </w:tc>
        <w:tc>
          <w:tcPr>
            <w:tcW w:w="904" w:type="dxa"/>
            <w:vAlign w:val="center"/>
          </w:tcPr>
          <w:p w14:paraId="13828CE1"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Class A</w:t>
            </w:r>
          </w:p>
        </w:tc>
        <w:tc>
          <w:tcPr>
            <w:tcW w:w="1775" w:type="dxa"/>
            <w:vAlign w:val="center"/>
          </w:tcPr>
          <w:p w14:paraId="126349EA"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Up to + 500 Pa</w:t>
            </w:r>
          </w:p>
        </w:tc>
        <w:tc>
          <w:tcPr>
            <w:tcW w:w="1996" w:type="dxa"/>
            <w:vAlign w:val="center"/>
          </w:tcPr>
          <w:p w14:paraId="06175600"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Down to - 500 Pa</w:t>
            </w:r>
          </w:p>
        </w:tc>
      </w:tr>
      <w:tr w:rsidR="00032CE0" w:rsidRPr="004C7832" w14:paraId="6609B90A" w14:textId="77777777" w:rsidTr="00354BCC">
        <w:trPr>
          <w:trHeight w:val="72"/>
          <w:jc w:val="center"/>
        </w:trPr>
        <w:tc>
          <w:tcPr>
            <w:tcW w:w="1803" w:type="dxa"/>
            <w:vAlign w:val="center"/>
          </w:tcPr>
          <w:p w14:paraId="7ED0DEF8"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Medium</w:t>
            </w:r>
          </w:p>
        </w:tc>
        <w:tc>
          <w:tcPr>
            <w:tcW w:w="904" w:type="dxa"/>
            <w:vAlign w:val="center"/>
          </w:tcPr>
          <w:p w14:paraId="2E06DCE3"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Class B</w:t>
            </w:r>
          </w:p>
        </w:tc>
        <w:tc>
          <w:tcPr>
            <w:tcW w:w="1775" w:type="dxa"/>
            <w:vAlign w:val="center"/>
          </w:tcPr>
          <w:p w14:paraId="5854AFA1"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Up to + 1000 Pa</w:t>
            </w:r>
          </w:p>
        </w:tc>
        <w:tc>
          <w:tcPr>
            <w:tcW w:w="1996" w:type="dxa"/>
            <w:vAlign w:val="center"/>
          </w:tcPr>
          <w:p w14:paraId="43E2920C"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Down to - 750 Pa</w:t>
            </w:r>
          </w:p>
        </w:tc>
      </w:tr>
      <w:tr w:rsidR="00032CE0" w:rsidRPr="004C7832" w14:paraId="06865F2F" w14:textId="77777777" w:rsidTr="00354BCC">
        <w:trPr>
          <w:trHeight w:val="72"/>
          <w:jc w:val="center"/>
        </w:trPr>
        <w:tc>
          <w:tcPr>
            <w:tcW w:w="1803" w:type="dxa"/>
            <w:vAlign w:val="center"/>
          </w:tcPr>
          <w:p w14:paraId="1E0C96F1"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High</w:t>
            </w:r>
          </w:p>
        </w:tc>
        <w:tc>
          <w:tcPr>
            <w:tcW w:w="904" w:type="dxa"/>
            <w:vAlign w:val="center"/>
          </w:tcPr>
          <w:p w14:paraId="64075B03"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Class C</w:t>
            </w:r>
          </w:p>
        </w:tc>
        <w:tc>
          <w:tcPr>
            <w:tcW w:w="1775" w:type="dxa"/>
            <w:vAlign w:val="center"/>
          </w:tcPr>
          <w:p w14:paraId="093B7C87"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Up to + 2000 Pa</w:t>
            </w:r>
          </w:p>
        </w:tc>
        <w:tc>
          <w:tcPr>
            <w:tcW w:w="1996" w:type="dxa"/>
            <w:vAlign w:val="center"/>
          </w:tcPr>
          <w:p w14:paraId="4A24F2E0"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Down to - 750 Pa</w:t>
            </w:r>
          </w:p>
        </w:tc>
      </w:tr>
      <w:tr w:rsidR="00032CE0" w:rsidRPr="004C7832" w14:paraId="6A5CD368" w14:textId="77777777" w:rsidTr="00354BCC">
        <w:trPr>
          <w:trHeight w:val="144"/>
          <w:jc w:val="center"/>
        </w:trPr>
        <w:tc>
          <w:tcPr>
            <w:tcW w:w="1803" w:type="dxa"/>
            <w:vAlign w:val="center"/>
          </w:tcPr>
          <w:p w14:paraId="6BFE3F73"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High</w:t>
            </w:r>
          </w:p>
        </w:tc>
        <w:tc>
          <w:tcPr>
            <w:tcW w:w="904" w:type="dxa"/>
            <w:vAlign w:val="center"/>
          </w:tcPr>
          <w:p w14:paraId="13D51385"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Class D</w:t>
            </w:r>
          </w:p>
        </w:tc>
        <w:tc>
          <w:tcPr>
            <w:tcW w:w="1775" w:type="dxa"/>
            <w:vAlign w:val="center"/>
          </w:tcPr>
          <w:p w14:paraId="705A88CA"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Up to + 2500 Pa</w:t>
            </w:r>
          </w:p>
        </w:tc>
        <w:tc>
          <w:tcPr>
            <w:tcW w:w="1996" w:type="dxa"/>
            <w:vAlign w:val="center"/>
          </w:tcPr>
          <w:p w14:paraId="5C3EA56B" w14:textId="77777777" w:rsidR="00032CE0" w:rsidRPr="004C7832" w:rsidRDefault="00032CE0" w:rsidP="0008337A">
            <w:pPr>
              <w:spacing w:beforeLines="40" w:before="96" w:afterLines="80" w:after="192"/>
              <w:ind w:right="95"/>
              <w:jc w:val="center"/>
              <w:rPr>
                <w:rFonts w:cstheme="minorHAnsi"/>
                <w:sz w:val="20"/>
                <w:szCs w:val="20"/>
                <w:lang w:bidi="en-US"/>
              </w:rPr>
            </w:pPr>
            <w:r w:rsidRPr="004C7832">
              <w:rPr>
                <w:rFonts w:cstheme="minorHAnsi"/>
                <w:sz w:val="20"/>
                <w:szCs w:val="20"/>
                <w:lang w:bidi="en-US"/>
              </w:rPr>
              <w:t>Down to - 750 Pa</w:t>
            </w:r>
          </w:p>
        </w:tc>
      </w:tr>
      <w:tr w:rsidR="00032CE0" w:rsidRPr="004C7832" w14:paraId="2AB47D36" w14:textId="77777777" w:rsidTr="00354BCC">
        <w:trPr>
          <w:trHeight w:val="183"/>
          <w:jc w:val="center"/>
        </w:trPr>
        <w:tc>
          <w:tcPr>
            <w:tcW w:w="6478" w:type="dxa"/>
            <w:gridSpan w:val="4"/>
            <w:vAlign w:val="center"/>
          </w:tcPr>
          <w:p w14:paraId="06273F4F" w14:textId="77777777" w:rsidR="00032CE0" w:rsidRPr="004C7832" w:rsidRDefault="00032CE0" w:rsidP="0008337A">
            <w:pPr>
              <w:spacing w:beforeLines="40" w:before="96" w:afterLines="80" w:after="192"/>
              <w:ind w:right="95"/>
              <w:rPr>
                <w:rFonts w:cstheme="minorHAnsi"/>
                <w:sz w:val="20"/>
                <w:szCs w:val="20"/>
                <w:lang w:bidi="en-US"/>
              </w:rPr>
            </w:pPr>
            <w:r w:rsidRPr="004C7832">
              <w:rPr>
                <w:rFonts w:cstheme="minorHAnsi"/>
                <w:b/>
                <w:bCs/>
                <w:sz w:val="20"/>
                <w:szCs w:val="20"/>
                <w:lang w:bidi="en-US"/>
              </w:rPr>
              <w:t>NOTE</w:t>
            </w:r>
            <w:r w:rsidRPr="004C7832">
              <w:rPr>
                <w:rFonts w:cstheme="minorHAnsi"/>
                <w:sz w:val="20"/>
                <w:szCs w:val="20"/>
                <w:lang w:bidi="en-US"/>
              </w:rPr>
              <w:t xml:space="preserve"> Classifications are to DW /144 requirements</w:t>
            </w:r>
          </w:p>
        </w:tc>
      </w:tr>
    </w:tbl>
    <w:p w14:paraId="7F86C1D2" w14:textId="77777777" w:rsidR="00CE4D78" w:rsidRPr="004C7832" w:rsidRDefault="00CE4D78" w:rsidP="005B17D5">
      <w:pPr>
        <w:spacing w:beforeLines="40" w:before="96" w:afterLines="80" w:after="192"/>
        <w:jc w:val="both"/>
        <w:rPr>
          <w:sz w:val="20"/>
          <w:szCs w:val="20"/>
        </w:rPr>
      </w:pPr>
    </w:p>
    <w:sectPr w:rsidR="00CE4D78" w:rsidRPr="004C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138F"/>
    <w:multiLevelType w:val="hybridMultilevel"/>
    <w:tmpl w:val="14288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965155"/>
    <w:multiLevelType w:val="hybridMultilevel"/>
    <w:tmpl w:val="B3CA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7A319D"/>
    <w:multiLevelType w:val="hybridMultilevel"/>
    <w:tmpl w:val="FB9ADA54"/>
    <w:lvl w:ilvl="0" w:tplc="0EE6D8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720956">
    <w:abstractNumId w:val="1"/>
  </w:num>
  <w:num w:numId="2" w16cid:durableId="1388069484">
    <w:abstractNumId w:val="2"/>
  </w:num>
  <w:num w:numId="3" w16cid:durableId="16679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wtTC3NDMwMrY0sDRX0lEKTi0uzszPAykwrAUAP6vmhiwAAAA="/>
  </w:docVars>
  <w:rsids>
    <w:rsidRoot w:val="00CE4D78"/>
    <w:rsid w:val="00032CE0"/>
    <w:rsid w:val="0008337A"/>
    <w:rsid w:val="00397DF2"/>
    <w:rsid w:val="004C7832"/>
    <w:rsid w:val="005B17D5"/>
    <w:rsid w:val="00630BEC"/>
    <w:rsid w:val="00744668"/>
    <w:rsid w:val="00A71060"/>
    <w:rsid w:val="00CE4D78"/>
    <w:rsid w:val="00E123E7"/>
    <w:rsid w:val="00EA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064C"/>
  <w15:chartTrackingRefBased/>
  <w15:docId w15:val="{3FD0B964-4688-46C9-9A2C-7A7A11EB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Surve | CVS</dc:creator>
  <cp:keywords/>
  <dc:description/>
  <cp:lastModifiedBy>Saad Surve | CVS</cp:lastModifiedBy>
  <cp:revision>2</cp:revision>
  <dcterms:created xsi:type="dcterms:W3CDTF">2023-10-27T10:44:00Z</dcterms:created>
  <dcterms:modified xsi:type="dcterms:W3CDTF">2023-10-27T10:44:00Z</dcterms:modified>
</cp:coreProperties>
</file>